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hd w:fill="FFFFFF" w:val="clear"/>
          <w:sz w:val="18"/>
          <w:szCs w:val="18"/>
          <w:rFonts w:ascii="Arial" w:hAnsi="Arial" w:eastAsia="Andale Sans UI" w:cs="Tahoma"/>
          <w:color w:val="00000A"/>
          <w:lang w:val="el-GR" w:eastAsia="zxx" w:bidi="zxx"/>
        </w:rPr>
      </w:pPr>
      <w:r>
        <w:rPr>
          <w:rFonts w:ascii="Arial" w:hAnsi="Arial"/>
          <w:sz w:val="18"/>
          <w:szCs w:val="18"/>
          <w:shd w:fill="FFFFFF" w:val="clear"/>
          <w:lang w:val="el-GR" w:eastAsia="zxx" w:bidi="zxx"/>
        </w:rPr>
      </w:r>
      <w:r/>
    </w:p>
    <w:p>
      <w:pPr>
        <w:pStyle w:val="Normal"/>
        <w:rPr>
          <w:sz w:val="18"/>
          <w:shd w:fill="FFFFFF" w:val="clear"/>
          <w:sz w:val="18"/>
          <w:szCs w:val="18"/>
          <w:rFonts w:ascii="Arial" w:hAnsi="Arial" w:eastAsia="Andale Sans UI" w:cs="Tahoma"/>
          <w:color w:val="00000A"/>
          <w:lang w:val="el-GR" w:eastAsia="zxx" w:bidi="zxx"/>
        </w:rPr>
      </w:pPr>
      <w:r>
        <w:rPr>
          <w:rFonts w:ascii="Arial" w:hAnsi="Arial"/>
          <w:sz w:val="18"/>
          <w:szCs w:val="18"/>
          <w:shd w:fill="FFFFFF" w:val="clear"/>
          <w:lang w:val="el-GR" w:eastAsia="zxx" w:bidi="zxx"/>
        </w:rPr>
      </w:r>
      <w:r/>
    </w:p>
    <w:p>
      <w:pPr>
        <w:pStyle w:val="Normal"/>
        <w:rPr>
          <w:sz w:val="18"/>
          <w:shd w:fill="FFFFFF" w:val="clear"/>
          <w:sz w:val="18"/>
          <w:szCs w:val="18"/>
          <w:rFonts w:ascii="Arial" w:hAnsi="Arial" w:eastAsia="Andale Sans UI" w:cs="Tahoma"/>
          <w:color w:val="00000A"/>
          <w:lang w:val="el-GR" w:eastAsia="zxx" w:bidi="zxx"/>
        </w:rPr>
      </w:pPr>
      <w:r>
        <w:rPr>
          <w:rFonts w:ascii="Arial" w:hAnsi="Arial"/>
          <w:sz w:val="18"/>
          <w:szCs w:val="18"/>
          <w:shd w:fill="FFFFFF" w:val="clear"/>
          <w:lang w:val="el-GR" w:eastAsia="zxx" w:bidi="zxx"/>
        </w:rPr>
      </w:r>
      <w:r/>
    </w:p>
    <w:p>
      <w:pPr>
        <w:pStyle w:val="Normal"/>
        <w:shd w:val="clear" w:color="" w:themeColor="" w:themeTint="" w:themeShade="" w:fill="FFFFFF" w:themeFill="" w:themeFillTint="" w:themeFillShade=""/>
      </w:pPr>
      <w:r>
        <w:rPr>
          <w:rFonts w:ascii="Arial" w:hAnsi="Arial"/>
          <w:b/>
          <w:bCs/>
          <w:sz w:val="18"/>
          <w:szCs w:val="18"/>
          <w:shd w:fill="FFFFFF" w:val="clear"/>
          <w:lang w:val="el-GR"/>
        </w:rPr>
        <w:t xml:space="preserve"> </w:t>
      </w:r>
      <w:r>
        <w:rPr>
          <w:rFonts w:ascii="Arial" w:hAnsi="Arial"/>
          <w:b/>
          <w:bCs/>
          <w:sz w:val="18"/>
          <w:szCs w:val="18"/>
          <w:shd w:fill="FFFFFF" w:val="clear"/>
          <w:lang w:val="el-GR"/>
        </w:rPr>
        <w:t xml:space="preserve">ΕΝΤΥΠΟ ΠΡΟΣΦΟΡΑΣ ΓΙΑ ΠΡΟΜΗΘΕΙΑ  Μ. Α.Π. ΜΕ ΤΗ  ΔΙΑΔΙΚΑΣΙΑ ΤΟΥ </w:t>
      </w:r>
      <w:r>
        <w:rPr>
          <w:rFonts w:ascii="Arial" w:hAnsi="Arial"/>
          <w:b/>
          <w:bCs/>
          <w:i/>
          <w:iCs/>
          <w:sz w:val="18"/>
          <w:szCs w:val="18"/>
          <w:u w:val="single"/>
          <w:shd w:fill="FFFFFF" w:val="clear"/>
          <w:lang w:val="el-GR"/>
        </w:rPr>
        <w:t xml:space="preserve">ΚΑΤΕΠΕΙΓΟΝΤΟΣ   </w:t>
      </w:r>
      <w:r>
        <w:rPr>
          <w:rFonts w:ascii="Arial" w:hAnsi="Arial"/>
          <w:b/>
          <w:bCs/>
          <w:sz w:val="18"/>
          <w:szCs w:val="18"/>
          <w:shd w:fill="FFFFFF" w:val="clear"/>
          <w:lang w:val="el-GR"/>
        </w:rPr>
        <w:t>2015</w:t>
      </w:r>
      <w:r/>
    </w:p>
    <w:tbl>
      <w:tblPr>
        <w:tblW w:w="10092" w:type="dxa"/>
        <w:jc w:val="left"/>
        <w:tblInd w:w="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24" w:type="dxa"/>
          <w:bottom w:w="28" w:type="dxa"/>
          <w:right w:w="28" w:type="dxa"/>
        </w:tblCellMar>
      </w:tblPr>
      <w:tblGrid>
        <w:gridCol w:w="5373"/>
        <w:gridCol w:w="722"/>
        <w:gridCol w:w="1271"/>
        <w:gridCol w:w="1187"/>
        <w:gridCol w:w="1539"/>
      </w:tblGrid>
      <w:tr>
        <w:trPr>
          <w:trHeight w:val="852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ΕΙΔΗ ΑΤΟΜΙΚΗΣ ΠΡΟΣΤΑΣΙΑΣ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ΚΑΤΕΠΕΙΓΟΝΤΟΣ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2015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ΜΟΝ.ΜΕΤΡ.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ΗΤΑ  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 xml:space="preserve">ΤΙΜΗ </w:t>
            </w:r>
            <w:r/>
          </w:p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ΜΟΝΑΔΑΣ</w:t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ΣΥΝΟΛΙΚΗ</w:t>
            </w:r>
            <w:r/>
          </w:p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ΤΙΜΗ ΧΩΡΙΣ ΦΠΑ</w:t>
            </w:r>
            <w:r/>
          </w:p>
        </w:tc>
      </w:tr>
      <w:tr>
        <w:trPr>
          <w:trHeight w:val="108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588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ΚΑΤΗΓΟΡΙΑ 1 ΠΡΟΣΤΑΣΙΑ ΧΕΡΙΩΝ-ΓΑΝΤΙΑ 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ΜΟΝ.ΜΕΤΡ.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ΗΤΑ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bCs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 xml:space="preserve"> </w:t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bCs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ΔΕΡΜΑΤΟΠΑΝΙΝΑ ΑΠΌ ΒΟΕΙΟ ΔΕΡΜΑ 2-1-2-2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250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ΔΕΡΜΑΤΟΠΑΝΙΝΑ ΑΠΌ ΒΟΕΙΟ ΔΕΡΜΑ 4-2-4-4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40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ΔΕΡΜΑΤΟΠΑΝΙΝΑ ΑΠΌ ΑΙΓΑΣ ΔΕΡΜΑ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200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ΑΠΟ ΝΙΤΡΙΛΙΟ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200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ΔΕΡΜΑΤΙΝΑ ΚΟΝΤΑ για ξυλοκοπτικό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ΔΕΡΜΑΤΙΝΑ ΥΔΑΤΟΑΠΩΘΗΤΙΚΑ για κηπουρούς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150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ΥΦΑΣΜΑ &amp; ΝΙΤΡΙΛΙΟ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200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ΕΛΑΣΤΙΚΑ ΜΙΑΣ ΧΡΗΣΗΣ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1.000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ΓΑΝΤΙΑ ΣΥΓΚΟΛΛΗΤΩΝ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2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1 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με ΦΠΑ 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624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ΚΑΤΗΓΟΡΙΑ 4 ΠΡΟΣΤΑΤΕΥΤΙΚΗ ΕΝΔΥΜΑΣΙΑ - ΥΠΟΔΗΜΑΤΑ- ΛΟΙΠΑ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ΜΟΝ ΜΕΤΡ.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>ΗΤΑ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 xml:space="preserve">ΤΙΜΗ </w:t>
            </w:r>
            <w:r/>
          </w:p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ΜΟΝΑΔΑΣ</w:t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ΣΥΝΟΛΙΚΗ</w:t>
            </w:r>
            <w:r/>
          </w:p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FFFFFF" w:val="clear"/>
                <w:lang w:val="el-GR"/>
              </w:rPr>
              <w:t>ΤΙΜΗ ΧΩΡΙΣ ΦΠΑ</w:t>
            </w:r>
            <w:r/>
          </w:p>
        </w:tc>
      </w:tr>
      <w:tr>
        <w:trPr>
          <w:trHeight w:val="288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ΑΝΑΚΛΑΣΤΙΚΑ ΓΙΛΕΚΑ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ΤΕΜ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100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76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shd w:fill="FFFFFF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FFFFFF" w:val="clear"/>
              </w:rPr>
              <w:t>ΝΙΤΣΕΡΑΔΕΣ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</w:rPr>
              <w:t>ΤΕΜ</w:t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el-GR"/>
              </w:rPr>
              <w:t>108</w:t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289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4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336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312" w:hRule="atLeas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</w:rPr>
              <w:t xml:space="preserve"> με ΦΠΑ 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176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shd w:fill="FFFFFF" w:val="clear"/>
                <w:sz w:val="18"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ΣΥΝΟΛ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ΙΚΗ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FFFFFF" w:val="clear"/>
                <w:lang w:val="el-GR"/>
              </w:rPr>
              <w:t xml:space="preserve">ΚΑΘΑΡΗ ΑΞΙΑ  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  <w:tr>
        <w:trPr>
          <w:trHeight w:val="300" w:hRule="exact"/>
        </w:trPr>
        <w:tc>
          <w:tcPr>
            <w:tcW w:w="5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ΣΥΝΟΛΟ 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el-GR"/>
              </w:rPr>
              <w:t xml:space="preserve">ΠΡΟΫΠΟΛΟΓΙΣΜΟΥ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</w:rPr>
              <w:t xml:space="preserve">ΜΕ ΦΠΑ </w:t>
            </w:r>
            <w:r/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center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zxx" w:eastAsia="zxx" w:bidi="zxx"/>
              </w:rPr>
            </w:r>
            <w:r/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FFFF" w:val="clear"/>
            <w:tcMar>
              <w:left w:w="24" w:type="dxa"/>
            </w:tcMar>
            <w:vAlign w:val="center"/>
          </w:tcPr>
          <w:p>
            <w:pPr>
              <w:pStyle w:val="Style19"/>
              <w:shd w:val="clear" w:color="" w:themeColor="" w:themeTint="" w:themeShade="" w:fill="FFFFFF" w:themeFill="" w:themeFillTint="" w:themeFillShade=""/>
              <w:jc w:val="right"/>
              <w:rPr>
                <w:sz w:val="18"/>
                <w:b/>
                <w:shd w:fill="FFFFFF" w:val="clear"/>
                <w:sz w:val="18"/>
                <w:b/>
                <w:szCs w:val="18"/>
                <w:rFonts w:ascii="Arial" w:hAnsi="Arial" w:eastAsia="Andale Sans UI" w:cs="Tahoma"/>
                <w:color w:val="00000A"/>
                <w:lang w:val="el-GR" w:eastAsia="zxx" w:bidi="zxx"/>
              </w:rPr>
            </w:pPr>
            <w:r>
              <w:rPr>
                <w:rFonts w:ascii="Arial" w:hAnsi="Arial"/>
                <w:b/>
                <w:color w:val="00000A"/>
                <w:sz w:val="18"/>
                <w:szCs w:val="18"/>
                <w:shd w:fill="FFFFFF" w:val="clear"/>
                <w:lang w:val="el-GR" w:eastAsia="zxx" w:bidi="zxx"/>
              </w:rPr>
            </w:r>
            <w:r/>
          </w:p>
        </w:tc>
      </w:tr>
    </w:tbl>
    <w:p>
      <w:pPr>
        <w:pStyle w:val="Normal"/>
        <w:shd w:val="clear" w:color="" w:themeColor="" w:themeTint="" w:themeShade="" w:fill="FFFFFF" w:themeFill="" w:themeFillTint="" w:themeFillShade=""/>
        <w:rPr>
          <w:sz w:val="18"/>
          <w:shd w:fill="FFFFFF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FFFFFF" w:val="clear"/>
          <w:lang w:val="el-GR"/>
        </w:rPr>
        <w:t xml:space="preserve">                           </w:t>
      </w:r>
      <w:r/>
    </w:p>
    <w:p>
      <w:pPr>
        <w:pStyle w:val="Normal"/>
        <w:shd w:val="clear" w:color="" w:themeColor="" w:themeTint="" w:themeShade="" w:fill="FFFFFF" w:themeFill="" w:themeFillTint="" w:themeFillShade=""/>
        <w:rPr>
          <w:sz w:val="21"/>
          <w:b w:val="false"/>
          <w:shd w:fill="FFFFFF" w:val="clear"/>
          <w:sz w:val="21"/>
          <w:b w:val="false"/>
          <w:szCs w:val="21"/>
          <w:bCs w:val="false"/>
          <w:rFonts w:ascii="Arial" w:hAnsi="Arial" w:eastAsia="Andale Sans UI" w:cs="Tahoma"/>
          <w:color w:val="00000A"/>
          <w:lang w:val="el-GR" w:eastAsia="zxx" w:bidi="zxx"/>
        </w:rPr>
      </w:pPr>
      <w:r>
        <w:rPr>
          <w:rFonts w:ascii="Arial" w:hAnsi="Arial"/>
          <w:b w:val="false"/>
          <w:bCs w:val="false"/>
          <w:sz w:val="21"/>
          <w:szCs w:val="21"/>
          <w:shd w:fill="FFFFFF" w:val="clear"/>
          <w:lang w:val="el-GR" w:eastAsia="zxx" w:bidi="zxx"/>
        </w:rPr>
      </w:r>
      <w:r/>
    </w:p>
    <w:p>
      <w:pPr>
        <w:pStyle w:val="Normal"/>
        <w:shd w:val="clear" w:color="" w:themeColor="" w:themeTint="" w:themeShade="" w:fill="FFFFFF" w:themeFill="" w:themeFillTint="" w:themeFillShade=""/>
      </w:pPr>
      <w:r>
        <w:rPr>
          <w:rFonts w:ascii="Arial" w:hAnsi="Arial"/>
          <w:b w:val="false"/>
          <w:bCs w:val="false"/>
          <w:sz w:val="21"/>
          <w:szCs w:val="21"/>
          <w:shd w:fill="FFFFFF" w:val="clear"/>
          <w:lang w:val="el-GR"/>
        </w:rPr>
        <w:t xml:space="preserve">                                                                                            </w:t>
      </w:r>
      <w:r>
        <w:rPr>
          <w:rFonts w:ascii="Arial" w:hAnsi="Arial"/>
          <w:b w:val="false"/>
          <w:bCs w:val="false"/>
          <w:sz w:val="21"/>
          <w:szCs w:val="21"/>
          <w:shd w:fill="FFFFFF" w:val="clear"/>
          <w:lang w:val="el-GR"/>
        </w:rPr>
        <w:t xml:space="preserve">ΧΑΝΙΑ, </w:t>
      </w:r>
      <w:r/>
    </w:p>
    <w:p>
      <w:pPr>
        <w:pStyle w:val="Normal"/>
        <w:shd w:val="clear" w:color="" w:themeColor="" w:themeTint="" w:themeShade="" w:fill="FFFFFF" w:themeFill="" w:themeFillTint="" w:themeFillShade=""/>
      </w:pPr>
      <w:r>
        <w:rPr>
          <w:rFonts w:ascii="Arial" w:hAnsi="Arial"/>
          <w:b w:val="false"/>
          <w:bCs w:val="false"/>
          <w:sz w:val="21"/>
          <w:szCs w:val="21"/>
          <w:shd w:fill="FFFFFF" w:val="clear"/>
          <w:lang w:val="el-GR"/>
        </w:rPr>
        <w:t xml:space="preserve">                                                                                     </w:t>
      </w:r>
      <w:r>
        <w:rPr>
          <w:rFonts w:ascii="Arial" w:hAnsi="Arial"/>
          <w:b w:val="false"/>
          <w:bCs w:val="false"/>
          <w:sz w:val="21"/>
          <w:szCs w:val="21"/>
          <w:shd w:fill="FFFFFF" w:val="clear"/>
          <w:lang w:val="el-GR"/>
        </w:rPr>
        <w:t>Ο ΠΡΟΣΦΕΡΩΝ</w:t>
      </w:r>
      <w:r/>
    </w:p>
    <w:sectPr>
      <w:type w:val="nextPage"/>
      <w:pgSz w:w="11906" w:h="16838"/>
      <w:pgMar w:left="1134" w:right="1134" w:header="0" w:top="72" w:footer="0" w:bottom="113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20"/>
    </w:pPr>
    <w:rPr/>
  </w:style>
  <w:style w:type="paragraph" w:styleId="Style16">
    <w:name w:val="Λίστα"/>
    <w:basedOn w:val="Style15"/>
    <w:pPr/>
    <w:rPr>
      <w:rFonts w:cs="Tahoma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Tahoma"/>
    </w:rPr>
  </w:style>
  <w:style w:type="paragraph" w:styleId="Style19">
    <w:name w:val="Περιεχόμενα πίνακα"/>
    <w:basedOn w:val="Normal"/>
    <w:pPr>
      <w:suppressLineNumbers/>
    </w:pPr>
    <w:rPr/>
  </w:style>
  <w:style w:type="paragraph" w:styleId="Style20">
    <w:name w:val="Επικεφαλίδα πίνακα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13185</TotalTime>
  <Application>LibreOffice/4.3.4.1$Windows_x86 LibreOffice_project/bc356b2f991740509f321d70e4512a6a54c5f243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2015-10-05T14:58:41Z</dcterms:modified>
  <cp:revision>17</cp:revision>
</cp:coreProperties>
</file>